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2494D" w:rsidRDefault="0082494D" w:rsidP="0082494D">
      <w:pPr>
        <w:spacing w:line="276" w:lineRule="auto"/>
        <w:contextualSpacing/>
        <w:rPr>
          <w:b/>
        </w:rPr>
      </w:pPr>
      <w:r w:rsidRPr="007A308F">
        <w:rPr>
          <w:b/>
        </w:rPr>
        <w:t>Building</w:t>
      </w:r>
      <w:r>
        <w:t xml:space="preserve"> </w:t>
      </w:r>
      <w:r>
        <w:rPr>
          <w:b/>
        </w:rPr>
        <w:t xml:space="preserve">Effective and Collaborative Relationships – </w:t>
      </w:r>
      <w:r w:rsidRPr="004E6276">
        <w:rPr>
          <w:b/>
        </w:rPr>
        <w:t>State-City-Local Health Departments</w:t>
      </w:r>
    </w:p>
    <w:p w:rsidR="00E45DAF" w:rsidRPr="00E45DAF" w:rsidRDefault="00E45DAF" w:rsidP="00E45DAF">
      <w:r w:rsidRPr="00E45DAF">
        <w:rPr>
          <w:b/>
          <w:bCs/>
          <w:sz w:val="18"/>
          <w:szCs w:val="18"/>
        </w:rPr>
        <w:t>CDC-CSTE Healthcare-associated Infection and Antimicrobial Resistance Sunday Workshop – June 10, 2018</w:t>
      </w:r>
    </w:p>
    <w:p w:rsidR="0082494D" w:rsidRPr="0082494D" w:rsidRDefault="0082494D" w:rsidP="0082494D">
      <w:pPr>
        <w:rPr>
          <w:u w:val="single"/>
        </w:rPr>
      </w:pPr>
      <w:r w:rsidRPr="0082494D">
        <w:rPr>
          <w:u w:val="single"/>
        </w:rPr>
        <w:t>Discussion Prompts:</w:t>
      </w:r>
    </w:p>
    <w:p w:rsidR="006A4A62" w:rsidRDefault="003B2EEB" w:rsidP="006A4A62">
      <w:r>
        <w:t xml:space="preserve">1. </w:t>
      </w:r>
      <w:r w:rsidR="0082494D">
        <w:t>For local-city-state HD relations, reflect on your current practices and identify one thing you are doing that you feel should be considered as an example of a Best Practice.</w:t>
      </w:r>
    </w:p>
    <w:p w:rsidR="006A4A62" w:rsidRDefault="006A4A62" w:rsidP="006A4A62">
      <w:pPr>
        <w:ind w:left="720" w:hanging="720"/>
      </w:pPr>
      <w:r>
        <w:t>CA</w:t>
      </w:r>
    </w:p>
    <w:p w:rsidR="006A4A62" w:rsidRDefault="006A4A62" w:rsidP="006A4A62">
      <w:pPr>
        <w:pStyle w:val="ListParagraph"/>
        <w:numPr>
          <w:ilvl w:val="0"/>
          <w:numId w:val="3"/>
        </w:numPr>
      </w:pPr>
      <w:r w:rsidRPr="006A4A62">
        <w:t>CDI collaborative in Orange County with the CA Health Department</w:t>
      </w:r>
    </w:p>
    <w:p w:rsidR="006A4A62" w:rsidRDefault="006A4A62" w:rsidP="006A4A62">
      <w:pPr>
        <w:pStyle w:val="ListParagraph"/>
        <w:numPr>
          <w:ilvl w:val="0"/>
          <w:numId w:val="3"/>
        </w:numPr>
      </w:pPr>
      <w:r>
        <w:t>Serve as resource for investigation</w:t>
      </w:r>
    </w:p>
    <w:p w:rsidR="006A4A62" w:rsidRDefault="006A4A62" w:rsidP="006A4A62">
      <w:pPr>
        <w:pStyle w:val="ListParagraph"/>
        <w:numPr>
          <w:ilvl w:val="0"/>
          <w:numId w:val="3"/>
        </w:numPr>
      </w:pPr>
      <w:r>
        <w:t>Performed outreach investigations on specific conditions (</w:t>
      </w:r>
      <w:proofErr w:type="spellStart"/>
      <w:r>
        <w:t>eg</w:t>
      </w:r>
      <w:proofErr w:type="spellEnd"/>
      <w:r>
        <w:t xml:space="preserve">: C </w:t>
      </w:r>
      <w:proofErr w:type="spellStart"/>
      <w:r>
        <w:t>dif</w:t>
      </w:r>
      <w:proofErr w:type="spellEnd"/>
      <w:r>
        <w:t>)</w:t>
      </w:r>
    </w:p>
    <w:p w:rsidR="006A4A62" w:rsidRDefault="006A4A62" w:rsidP="006A4A62">
      <w:pPr>
        <w:pStyle w:val="ListParagraph"/>
        <w:numPr>
          <w:ilvl w:val="0"/>
          <w:numId w:val="3"/>
        </w:numPr>
      </w:pPr>
      <w:r>
        <w:t>IPs in southern CA conduct outreach to facilities and go with local Health Departments when outbreak occurs</w:t>
      </w:r>
    </w:p>
    <w:p w:rsidR="006A4A62" w:rsidRPr="006A4A62" w:rsidRDefault="006A4A62" w:rsidP="006A4A62">
      <w:pPr>
        <w:pStyle w:val="ListParagraph"/>
        <w:numPr>
          <w:ilvl w:val="0"/>
          <w:numId w:val="3"/>
        </w:numPr>
      </w:pPr>
      <w:r>
        <w:t>Quick sheets developed together – guidance documents for local Public Health</w:t>
      </w:r>
    </w:p>
    <w:p w:rsidR="006A4A62" w:rsidRDefault="006A4A62" w:rsidP="006A4A62">
      <w:r>
        <w:t>IL</w:t>
      </w:r>
    </w:p>
    <w:p w:rsidR="006A4A62" w:rsidRPr="006A4A62" w:rsidRDefault="006A4A62" w:rsidP="006A4A62">
      <w:proofErr w:type="spellStart"/>
      <w:r>
        <w:t>Dupage</w:t>
      </w:r>
      <w:proofErr w:type="spellEnd"/>
      <w:r>
        <w:t xml:space="preserve"> County Health Department and IL Health Department conduct frequent calls</w:t>
      </w:r>
    </w:p>
    <w:p w:rsidR="006A4A62" w:rsidRDefault="006A4A62" w:rsidP="006A4A62">
      <w:r>
        <w:t>WA</w:t>
      </w:r>
    </w:p>
    <w:p w:rsidR="006A4A62" w:rsidRDefault="006A4A62" w:rsidP="006A4A62">
      <w:r>
        <w:t>ICAR nurse notify HE prior to ICAR visit and local staff invited to attend (usually go)</w:t>
      </w:r>
    </w:p>
    <w:p w:rsidR="0082494D" w:rsidRDefault="0082494D" w:rsidP="0082494D"/>
    <w:p w:rsidR="0082494D" w:rsidRPr="006A4A62" w:rsidRDefault="003B2EEB" w:rsidP="00BB1648">
      <w:r>
        <w:t xml:space="preserve">2. </w:t>
      </w:r>
      <w:r w:rsidR="0082494D">
        <w:t>Identify the top two things you</w:t>
      </w:r>
      <w:r w:rsidR="00D53329">
        <w:t>r jurisdiction</w:t>
      </w:r>
      <w:r w:rsidR="0082494D">
        <w:t xml:space="preserve"> can change</w:t>
      </w:r>
      <w:r w:rsidR="00D53329">
        <w:t xml:space="preserve"> </w:t>
      </w:r>
      <w:r w:rsidR="0082494D">
        <w:t>to make local-city-state collaborations more effective in reducing HAI-AR risks.</w:t>
      </w:r>
    </w:p>
    <w:p w:rsidR="006A4A62" w:rsidRDefault="006A4A62" w:rsidP="006A4A62">
      <w:r>
        <w:t>CA</w:t>
      </w:r>
    </w:p>
    <w:p w:rsidR="006A4A62" w:rsidRDefault="006A4A62" w:rsidP="006A4A62">
      <w:r>
        <w:tab/>
        <w:t xml:space="preserve">1 – </w:t>
      </w:r>
      <w:proofErr w:type="gramStart"/>
      <w:r>
        <w:t>put</w:t>
      </w:r>
      <w:proofErr w:type="gramEnd"/>
      <w:r>
        <w:t xml:space="preserve"> out more data that speaks to local Health Departments </w:t>
      </w:r>
      <w:r>
        <w:rPr>
          <w:rFonts w:cstheme="minorHAnsi"/>
        </w:rPr>
        <w:t>→</w:t>
      </w:r>
      <w:r>
        <w:t>county level reports</w:t>
      </w:r>
    </w:p>
    <w:p w:rsidR="006A4A62" w:rsidRDefault="006A4A62" w:rsidP="006A4A62">
      <w:r>
        <w:tab/>
        <w:t xml:space="preserve">2 – </w:t>
      </w:r>
      <w:proofErr w:type="gramStart"/>
      <w:r>
        <w:t>give</w:t>
      </w:r>
      <w:proofErr w:type="gramEnd"/>
      <w:r>
        <w:t xml:space="preserve"> local Health Departments more access to NHSN data</w:t>
      </w:r>
    </w:p>
    <w:p w:rsidR="0082494D" w:rsidRDefault="0082494D" w:rsidP="00BB1648">
      <w:pPr>
        <w:rPr>
          <w:i/>
          <w:color w:val="006794"/>
          <w:sz w:val="28"/>
          <w:szCs w:val="28"/>
        </w:rPr>
      </w:pPr>
    </w:p>
    <w:p w:rsidR="0082494D" w:rsidRDefault="006A4A62" w:rsidP="00BB1648">
      <w:pPr>
        <w:rPr>
          <w:i/>
          <w:color w:val="006794"/>
          <w:sz w:val="28"/>
          <w:szCs w:val="28"/>
        </w:rPr>
      </w:pPr>
      <w:r w:rsidRPr="00BB1648">
        <w:rPr>
          <w:noProof/>
        </w:rPr>
        <w:lastRenderedPageBreak/>
        <w:drawing>
          <wp:inline distT="0" distB="0" distL="0" distR="0" wp14:anchorId="43053516" wp14:editId="39D26077">
            <wp:extent cx="6310630" cy="3876675"/>
            <wp:effectExtent l="0" t="0" r="0" b="9525"/>
            <wp:docPr id="4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314337" cy="38789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6A4A62" w:rsidRDefault="006A4A62">
      <w:pPr>
        <w:rPr>
          <w:i/>
          <w:color w:val="006794"/>
          <w:sz w:val="24"/>
          <w:szCs w:val="28"/>
        </w:rPr>
      </w:pPr>
    </w:p>
    <w:p w:rsidR="0082494D" w:rsidRPr="006A4A62" w:rsidRDefault="0082494D">
      <w:pPr>
        <w:rPr>
          <w:i/>
          <w:color w:val="006794"/>
          <w:sz w:val="28"/>
          <w:szCs w:val="28"/>
        </w:rPr>
      </w:pPr>
      <w:r w:rsidRPr="00BA6A32">
        <w:rPr>
          <w:i/>
          <w:color w:val="006794"/>
          <w:sz w:val="24"/>
          <w:szCs w:val="28"/>
        </w:rPr>
        <w:t xml:space="preserve">Note: the above infographic is a preview from the soon-to-be released </w:t>
      </w:r>
      <w:r w:rsidRPr="00BA6A32">
        <w:rPr>
          <w:b/>
          <w:i/>
          <w:color w:val="006794"/>
          <w:sz w:val="24"/>
          <w:szCs w:val="28"/>
        </w:rPr>
        <w:t>NACCHO</w:t>
      </w:r>
      <w:r w:rsidRPr="00BA6A32">
        <w:rPr>
          <w:i/>
          <w:color w:val="006794"/>
          <w:sz w:val="24"/>
          <w:szCs w:val="28"/>
        </w:rPr>
        <w:t xml:space="preserve"> report:</w:t>
      </w:r>
    </w:p>
    <w:p w:rsidR="0082494D" w:rsidRDefault="0082494D" w:rsidP="0082494D">
      <w:pPr>
        <w:rPr>
          <w:i/>
          <w:color w:val="006794"/>
          <w:sz w:val="28"/>
          <w:szCs w:val="28"/>
        </w:rPr>
      </w:pPr>
      <w:r w:rsidRPr="00BA6A32">
        <w:rPr>
          <w:i/>
          <w:color w:val="006794"/>
          <w:sz w:val="24"/>
          <w:szCs w:val="28"/>
        </w:rPr>
        <w:t>“HEALTHCAREASSOCIATED INFECTIONS: A TOOLKIT FOR LOCAL HEALTH DEPARTMENTS”</w:t>
      </w:r>
      <w:r>
        <w:rPr>
          <w:i/>
          <w:color w:val="006794"/>
          <w:sz w:val="28"/>
          <w:szCs w:val="28"/>
        </w:rPr>
        <w:br w:type="page"/>
      </w:r>
    </w:p>
    <w:p w:rsidR="0082494D" w:rsidRPr="003B2EEB" w:rsidRDefault="0082494D" w:rsidP="0082494D">
      <w:pPr>
        <w:rPr>
          <w:i/>
          <w:color w:val="006794"/>
          <w:sz w:val="24"/>
          <w:szCs w:val="28"/>
        </w:rPr>
      </w:pPr>
      <w:r w:rsidRPr="003B2EEB">
        <w:rPr>
          <w:i/>
          <w:color w:val="006794"/>
          <w:sz w:val="24"/>
          <w:szCs w:val="28"/>
        </w:rPr>
        <w:lastRenderedPageBreak/>
        <w:t xml:space="preserve">Excerpt from the recent </w:t>
      </w:r>
      <w:r w:rsidRPr="00BA6A32">
        <w:rPr>
          <w:b/>
          <w:i/>
          <w:color w:val="006794"/>
          <w:sz w:val="24"/>
          <w:szCs w:val="28"/>
        </w:rPr>
        <w:t>ASTHO</w:t>
      </w:r>
      <w:r w:rsidRPr="003B2EEB">
        <w:rPr>
          <w:i/>
          <w:color w:val="006794"/>
          <w:sz w:val="24"/>
          <w:szCs w:val="28"/>
        </w:rPr>
        <w:t xml:space="preserve"> Meeting Report: </w:t>
      </w:r>
    </w:p>
    <w:p w:rsidR="0082494D" w:rsidRDefault="0082494D" w:rsidP="0082494D">
      <w:pPr>
        <w:rPr>
          <w:i/>
          <w:color w:val="006794"/>
          <w:sz w:val="28"/>
          <w:szCs w:val="28"/>
        </w:rPr>
      </w:pPr>
      <w:r>
        <w:rPr>
          <w:i/>
          <w:color w:val="006794"/>
          <w:sz w:val="28"/>
          <w:szCs w:val="28"/>
        </w:rPr>
        <w:t>“</w:t>
      </w:r>
      <w:r w:rsidRPr="0082494D">
        <w:rPr>
          <w:i/>
          <w:color w:val="006794"/>
          <w:sz w:val="28"/>
          <w:szCs w:val="28"/>
        </w:rPr>
        <w:t>HAI Programs: Enhancing Healthcare Infection Control Assessment and Response</w:t>
      </w:r>
      <w:r>
        <w:rPr>
          <w:i/>
          <w:color w:val="006794"/>
          <w:sz w:val="28"/>
          <w:szCs w:val="28"/>
        </w:rPr>
        <w:t>”</w:t>
      </w:r>
    </w:p>
    <w:p w:rsidR="0082494D" w:rsidRPr="0082494D" w:rsidRDefault="0082494D" w:rsidP="00BB1648">
      <w:pPr>
        <w:rPr>
          <w:i/>
          <w:color w:val="006794"/>
          <w:sz w:val="24"/>
          <w:szCs w:val="28"/>
          <w:u w:val="single"/>
        </w:rPr>
      </w:pPr>
      <w:r w:rsidRPr="0082494D">
        <w:rPr>
          <w:i/>
          <w:color w:val="006794"/>
          <w:sz w:val="24"/>
          <w:szCs w:val="28"/>
          <w:u w:val="single"/>
        </w:rPr>
        <w:t xml:space="preserve">Local Health Departments </w:t>
      </w:r>
    </w:p>
    <w:p w:rsidR="003B2EEB" w:rsidRDefault="003B2EEB" w:rsidP="00BB1648">
      <w:r>
        <w:rPr>
          <w:rFonts w:ascii="Gotham-Book" w:hAnsi="Gotham-Book" w:cs="Gotham-Book"/>
          <w:noProof/>
          <w:color w:val="414142"/>
          <w:sz w:val="21"/>
          <w:szCs w:val="21"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144E4C05" wp14:editId="1AC723FA">
                <wp:simplePos x="0" y="0"/>
                <wp:positionH relativeFrom="margin">
                  <wp:posOffset>3547745</wp:posOffset>
                </wp:positionH>
                <wp:positionV relativeFrom="paragraph">
                  <wp:posOffset>50165</wp:posOffset>
                </wp:positionV>
                <wp:extent cx="3352165" cy="1809750"/>
                <wp:effectExtent l="0" t="0" r="635" b="0"/>
                <wp:wrapSquare wrapText="bothSides"/>
                <wp:docPr id="319" name="Group 3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352165" cy="1809750"/>
                          <a:chOff x="603015" y="-66162"/>
                          <a:chExt cx="3257489" cy="1889214"/>
                        </a:xfrm>
                      </wpg:grpSpPr>
                      <wpg:grpSp>
                        <wpg:cNvPr id="339" name="Group 339"/>
                        <wpg:cNvGrpSpPr/>
                        <wpg:grpSpPr>
                          <a:xfrm>
                            <a:off x="603015" y="-66162"/>
                            <a:ext cx="3257489" cy="1889214"/>
                            <a:chOff x="603015" y="-105532"/>
                            <a:chExt cx="3257489" cy="1889214"/>
                          </a:xfrm>
                        </wpg:grpSpPr>
                        <wps:wsp>
                          <wps:cNvPr id="340" name="Text Box 2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603015" y="-105532"/>
                              <a:ext cx="3257489" cy="1889214"/>
                            </a:xfrm>
                            <a:prstGeom prst="rect">
                              <a:avLst/>
                            </a:prstGeom>
                            <a:solidFill>
                              <a:srgbClr val="8299BE"/>
                            </a:solidFill>
                            <a:ln w="9525">
                              <a:noFill/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:rsidR="00BB1648" w:rsidRPr="00BF18C3" w:rsidRDefault="00BB1648" w:rsidP="00BB1648">
                                <w:pPr>
                                  <w:pStyle w:val="NoSpacing"/>
                                  <w:rPr>
                                    <w:color w:val="8299BE"/>
                                  </w:rPr>
                                </w:pPr>
                              </w:p>
                              <w:p w:rsidR="00BB1648" w:rsidRPr="00B17F46" w:rsidRDefault="003B2EEB" w:rsidP="00BB1648">
                                <w:pPr>
                                  <w:pStyle w:val="NoSpacing"/>
                                  <w:rPr>
                                    <w:b/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b/>
                                    <w:i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ab/>
                                </w:r>
                                <w:r>
                                  <w:rPr>
                                    <w:b/>
                                    <w:i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ab/>
                                  <w:t xml:space="preserve">   </w:t>
                                </w:r>
                                <w:r w:rsidR="00BB1648" w:rsidRPr="00A40318">
                                  <w:rPr>
                                    <w:b/>
                                    <w:i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 xml:space="preserve">Tip: </w:t>
                                </w:r>
                                <w:r w:rsidR="00BB1648">
                                  <w:rPr>
                                    <w:b/>
                                    <w:color w:val="FFFFFF" w:themeColor="background1"/>
                                    <w:sz w:val="24"/>
                                    <w:szCs w:val="24"/>
                                  </w:rPr>
                                  <w:t>Engage Local Public Health</w:t>
                                </w:r>
                              </w:p>
                              <w:p w:rsidR="00BB1648" w:rsidRDefault="00BB1648" w:rsidP="00BB1648">
                                <w:pPr>
                                  <w:pStyle w:val="NoSpacing"/>
                                  <w:rPr>
                                    <w:b/>
                                    <w:i/>
                                    <w:color w:val="FFFFFF" w:themeColor="background1"/>
                                  </w:rPr>
                                </w:pPr>
                              </w:p>
                              <w:p w:rsidR="00BB1648" w:rsidRPr="00A40318" w:rsidRDefault="00BB1648" w:rsidP="00BB1648">
                                <w:pPr>
                                  <w:pStyle w:val="NoSpacing"/>
                                  <w:rPr>
                                    <w:color w:val="FFFFFF" w:themeColor="background1"/>
                                  </w:rPr>
                                </w:pPr>
                                <w:r>
                                  <w:rPr>
                                    <w:color w:val="FFFFFF" w:themeColor="background1"/>
                                  </w:rPr>
                                  <w:t>Positioning a local health department to lead a facility assessment allows the state HAI/AR program to play a consultative role, while minimizing perception of a regulatory dimension to the exercise. Direct involvement of both local and state staff can also result in broader or deeper expertise onsite.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>
                            <a:noAutofit/>
                          </wps:bodyPr>
                        </wps:wsp>
                        <wps:wsp>
                          <wps:cNvPr id="341" name="Flowchart: Connector 341"/>
                          <wps:cNvSpPr/>
                          <wps:spPr>
                            <a:xfrm>
                              <a:off x="1139862" y="-45719"/>
                              <a:ext cx="426213" cy="414408"/>
                            </a:xfrm>
                            <a:prstGeom prst="flowChartConnector">
                              <a:avLst/>
                            </a:prstGeom>
                            <a:solidFill>
                              <a:schemeClr val="bg1"/>
                            </a:solidFill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txbx>
                            <w:txbxContent>
                              <w:p w:rsidR="00BB1648" w:rsidRDefault="00BB1648" w:rsidP="00BB1648">
                                <w:pPr>
                                  <w:pStyle w:val="ListParagraph"/>
                                  <w:numPr>
                                    <w:ilvl w:val="0"/>
                                    <w:numId w:val="1"/>
                                  </w:numPr>
                                </w:pPr>
                                <w:r>
                                  <w:t>”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</wpg:grpSp>
                      <wpg:grpSp>
                        <wpg:cNvPr id="342" name="Group 342"/>
                        <wpg:cNvGrpSpPr/>
                        <wpg:grpSpPr>
                          <a:xfrm>
                            <a:off x="1209040" y="67310"/>
                            <a:ext cx="278765" cy="264160"/>
                            <a:chOff x="0" y="0"/>
                            <a:chExt cx="278789" cy="264478"/>
                          </a:xfrm>
                        </wpg:grpSpPr>
                        <wps:wsp>
                          <wps:cNvPr id="343" name="Oval 343"/>
                          <wps:cNvSpPr/>
                          <wps:spPr>
                            <a:xfrm>
                              <a:off x="74930" y="57150"/>
                              <a:ext cx="134620" cy="155397"/>
                            </a:xfrm>
                            <a:prstGeom prst="ellipse">
                              <a:avLst/>
                            </a:prstGeom>
                            <a:solidFill>
                              <a:srgbClr val="8299BE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4" name="Flowchart: Stored Data 344"/>
                          <wps:cNvSpPr/>
                          <wps:spPr>
                            <a:xfrm rot="16200000">
                              <a:off x="104775" y="203835"/>
                              <a:ext cx="71120" cy="50165"/>
                            </a:xfrm>
                            <a:prstGeom prst="flowChartOnlineStorage">
                              <a:avLst/>
                            </a:prstGeom>
                            <a:solidFill>
                              <a:srgbClr val="8299BE"/>
                            </a:solidFill>
                            <a:ln>
                              <a:noFill/>
                            </a:ln>
                          </wps:spPr>
                          <wps:style>
                            <a:lnRef idx="2">
                              <a:schemeClr val="accent1">
                                <a:shade val="50000"/>
                              </a:schemeClr>
                            </a:lnRef>
                            <a:fillRef idx="1">
                              <a:schemeClr val="accent1"/>
                            </a:fillRef>
                            <a:effectRef idx="0">
                              <a:schemeClr val="accent1"/>
                            </a:effectRef>
                            <a:fontRef idx="minor">
                              <a:schemeClr val="lt1"/>
                            </a:fontRef>
                          </wps:style>
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<a:prstTxWarp prst="textNoShape">
                              <a:avLst/>
                            </a:prstTxWarp>
                            <a:noAutofit/>
                          </wps:bodyPr>
                        </wps:wsp>
                        <wps:wsp>
                          <wps:cNvPr id="345" name="Straight Connector 345"/>
                          <wps:cNvCnPr/>
                          <wps:spPr>
                            <a:xfrm>
                              <a:off x="143510" y="0"/>
                              <a:ext cx="0" cy="47648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6" name="Straight Connector 346"/>
                          <wps:cNvCnPr/>
                          <wps:spPr>
                            <a:xfrm flipV="1">
                              <a:off x="215900" y="49530"/>
                              <a:ext cx="36304" cy="31766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7" name="Straight Connector 347"/>
                          <wps:cNvCnPr/>
                          <wps:spPr>
                            <a:xfrm flipH="1" flipV="1">
                              <a:off x="27940" y="53340"/>
                              <a:ext cx="42816" cy="31293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dk1"/>
                            </a:lnRef>
                            <a:fillRef idx="0">
                              <a:schemeClr val="dk1"/>
                            </a:fillRef>
                            <a:effectRef idx="1">
                              <a:schemeClr val="dk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8" name="Straight Connector 348"/>
                          <wps:cNvCnPr/>
                          <wps:spPr>
                            <a:xfrm>
                              <a:off x="231140" y="151130"/>
                              <a:ext cx="4764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49" name="Straight Connector 349"/>
                          <wps:cNvCnPr/>
                          <wps:spPr>
                            <a:xfrm>
                              <a:off x="0" y="153670"/>
                              <a:ext cx="47649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0" name="Straight Connector 350"/>
                          <wps:cNvCnPr/>
                          <wps:spPr>
                            <a:xfrm flipV="1">
                              <a:off x="107950" y="240030"/>
                              <a:ext cx="635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  <wps:wsp>
                          <wps:cNvPr id="351" name="Straight Connector 351"/>
                          <wps:cNvCnPr/>
                          <wps:spPr>
                            <a:xfrm flipV="1">
                              <a:off x="107950" y="222250"/>
                              <a:ext cx="63500" cy="0"/>
                            </a:xfrm>
                            <a:prstGeom prst="line">
                              <a:avLst/>
                            </a:prstGeom>
                            <a:ln>
                              <a:solidFill>
                                <a:srgbClr val="8299BE"/>
                              </a:solidFill>
                            </a:ln>
                          </wps:spPr>
                          <wps:style>
                            <a:lnRef idx="2">
                              <a:schemeClr val="accent1"/>
                            </a:lnRef>
                            <a:fillRef idx="0">
                              <a:schemeClr val="accent1"/>
                            </a:fillRef>
                            <a:effectRef idx="1">
                              <a:schemeClr val="accent1"/>
                            </a:effectRef>
                            <a:fontRef idx="minor">
                              <a:schemeClr val="tx1"/>
                            </a:fontRef>
                          </wps:style>
                          <wps:bodyPr/>
                        </wps:wsp>
                      </wpg:grp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44E4C05" id="Group 319" o:spid="_x0000_s1026" style="position:absolute;margin-left:279.35pt;margin-top:3.95pt;width:263.95pt;height:142.5pt;z-index:251659264;mso-position-horizontal-relative:margin;mso-width-relative:margin;mso-height-relative:margin" coordorigin="6030,-661" coordsize="32574,188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">
                <v:group id="Group 339" o:spid="_x0000_s1027" style="position:absolute;left:6030;top:-661;width:32575;height:18891" coordorigin="6030,-1055" coordsize="32574,1889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2" o:spid="_x0000_s1028" type="#_x0000_t202" style="position:absolute;left:6030;top:-1055;width:32575;height:18891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" fillcolor="#8299be" stroked="f">
                    <v:textbox>
                      <w:txbxContent>
                        <w:p w:rsidR="00BB1648" w:rsidRPr="00BF18C3" w:rsidRDefault="00BB1648" w:rsidP="00BB1648">
                          <w:pPr>
                            <w:pStyle w:val="NoSpacing"/>
                            <w:rPr>
                              <w:color w:val="8299BE"/>
                            </w:rPr>
                          </w:pPr>
                        </w:p>
                        <w:p w:rsidR="00BB1648" w:rsidRPr="00B17F46" w:rsidRDefault="003B2EEB" w:rsidP="00BB1648">
                          <w:pPr>
                            <w:pStyle w:val="NoSpacing"/>
                            <w:rPr>
                              <w:b/>
                              <w:color w:val="FFFFFF" w:themeColor="background1"/>
                            </w:rPr>
                          </w:pPr>
                          <w:r>
                            <w:rPr>
                              <w:b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tab/>
                          </w:r>
                          <w:r>
                            <w:rPr>
                              <w:b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tab/>
                            <w:t xml:space="preserve">   </w:t>
                          </w:r>
                          <w:r w:rsidR="00BB1648" w:rsidRPr="00A40318">
                            <w:rPr>
                              <w:b/>
                              <w:i/>
                              <w:color w:val="FFFFFF" w:themeColor="background1"/>
                              <w:sz w:val="24"/>
                              <w:szCs w:val="24"/>
                            </w:rPr>
                            <w:t xml:space="preserve">Tip: </w:t>
                          </w:r>
                          <w:r w:rsidR="00BB1648">
                            <w:rPr>
                              <w:b/>
                              <w:color w:val="FFFFFF" w:themeColor="background1"/>
                              <w:sz w:val="24"/>
                              <w:szCs w:val="24"/>
                            </w:rPr>
                            <w:t>Engage Local Public Health</w:t>
                          </w:r>
                        </w:p>
                        <w:p w:rsidR="00BB1648" w:rsidRDefault="00BB1648" w:rsidP="00BB1648">
                          <w:pPr>
                            <w:pStyle w:val="NoSpacing"/>
                            <w:rPr>
                              <w:b/>
                              <w:i/>
                              <w:color w:val="FFFFFF" w:themeColor="background1"/>
                            </w:rPr>
                          </w:pPr>
                        </w:p>
                        <w:p w:rsidR="00BB1648" w:rsidRPr="00A40318" w:rsidRDefault="00BB1648" w:rsidP="00BB1648">
                          <w:pPr>
                            <w:pStyle w:val="NoSpacing"/>
                            <w:rPr>
                              <w:color w:val="FFFFFF" w:themeColor="background1"/>
                            </w:rPr>
                          </w:pPr>
                          <w:r>
                            <w:rPr>
                              <w:color w:val="FFFFFF" w:themeColor="background1"/>
                            </w:rPr>
                            <w:t>Positioning a local health department to lead a facility assessment allows the state HAI/AR program to play a consultative role, while minimizing perception of a regulatory dimension to the exercise. Direct involvement of both local and state staff can also result in broader or deeper expertise onsite.</w:t>
                          </w:r>
                        </w:p>
                      </w:txbxContent>
                    </v:textbox>
                  </v:shape>
                  <v:shapetype id="_x0000_t120" coordsize="21600,21600" o:spt="120" path="m10800,qx,10800,10800,21600,21600,10800,10800,xe">
                    <v:path gradientshapeok="t" o:connecttype="custom" o:connectlocs="10800,0;3163,3163;0,10800;3163,18437;10800,21600;18437,18437;21600,10800;18437,3163" textboxrect="3163,3163,18437,18437"/>
                  </v:shapetype>
                  <v:shape id="Flowchart: Connector 341" o:spid="_x0000_s1029" type="#_x0000_t120" style="position:absolute;left:11398;top:-457;width:4262;height:4143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" fillcolor="white [3212]" strokecolor="#8299be" strokeweight="1pt">
                    <v:stroke joinstyle="miter"/>
                    <v:textbox>
                      <w:txbxContent>
                        <w:p w:rsidR="00BB1648" w:rsidRDefault="00BB1648" w:rsidP="00BB1648">
                          <w:pPr>
                            <w:pStyle w:val="ListParagraph"/>
                            <w:numPr>
                              <w:ilvl w:val="0"/>
                              <w:numId w:val="1"/>
                            </w:numPr>
                          </w:pPr>
                          <w:r>
                            <w:t>”</w:t>
                          </w:r>
                        </w:p>
                      </w:txbxContent>
                    </v:textbox>
                  </v:shape>
                </v:group>
                <v:group id="Group 342" o:spid="_x0000_s1030" style="position:absolute;left:12090;top:673;width:2788;height:2641" coordsize="278789,26447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">
                  <v:oval id="Oval 343" o:spid="_x0000_s1031" style="position:absolute;left:74930;top:57150;width:134620;height:155397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" fillcolor="#8299be" stroked="f" strokeweight="1pt">
                    <v:stroke joinstyle="miter"/>
                  </v:oval>
                  <v:shapetype id="_x0000_t130" coordsize="21600,21600" o:spt="130" path="m3600,21597c2662,21202,1837,20075,1087,18440,487,16240,75,13590,,10770,75,8007,487,5412,1087,3045,1837,1465,2662,337,3600,l21597,v-937,337,-1687,1465,-2512,3045c18485,5412,18072,8007,17997,10770v75,2820,488,5470,1088,7670c19910,20075,20660,21202,21597,21597xe">
                    <v:stroke joinstyle="miter"/>
                    <v:path gradientshapeok="t" o:connecttype="custom" o:connectlocs="10800,0;0,10800;10800,21600;17997,10800" textboxrect="3600,0,17997,21600"/>
                  </v:shapetype>
                  <v:shape id="Flowchart: Stored Data 344" o:spid="_x0000_s1032" type="#_x0000_t130" style="position:absolute;left:104775;top:203835;width:71120;height:50165;rotation:-9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" fillcolor="#8299be" stroked="f" strokeweight="1pt"/>
                  <v:line id="Straight Connector 345" o:spid="_x0000_s1033" style="position:absolute;visibility:visible;mso-wrap-style:square" from="143510,0" to="143510,47648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" strokecolor="#8299be" strokeweight="1pt">
                    <v:stroke joinstyle="miter"/>
                  </v:line>
                  <v:line id="Straight Connector 346" o:spid="_x0000_s1034" style="position:absolute;flip:y;visibility:visible;mso-wrap-style:square" from="215900,49530" to="252204,8129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" strokecolor="#8299be" strokeweight="1pt">
                    <v:stroke joinstyle="miter"/>
                  </v:line>
                  <v:line id="Straight Connector 347" o:spid="_x0000_s1035" style="position:absolute;flip:x y;visibility:visible;mso-wrap-style:square" from="27940,53340" to="70756,8463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" strokecolor="#8299be" strokeweight="1pt">
                    <v:stroke joinstyle="miter"/>
                  </v:line>
                  <v:line id="Straight Connector 348" o:spid="_x0000_s1036" style="position:absolute;visibility:visible;mso-wrap-style:square" from="231140,151130" to="278789,1511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" strokecolor="#8299be" strokeweight="1pt">
                    <v:stroke joinstyle="miter"/>
                  </v:line>
                  <v:line id="Straight Connector 349" o:spid="_x0000_s1037" style="position:absolute;visibility:visible;mso-wrap-style:square" from="0,153670" to="47649,15367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" strokecolor="#8299be" strokeweight="1pt">
                    <v:stroke joinstyle="miter"/>
                  </v:line>
                  <v:line id="Straight Connector 350" o:spid="_x0000_s1038" style="position:absolute;flip:y;visibility:visible;mso-wrap-style:square" from="107950,240030" to="171450,24003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" strokecolor="#8299be" strokeweight="1pt">
                    <v:stroke joinstyle="miter"/>
                  </v:line>
                  <v:line id="Straight Connector 351" o:spid="_x0000_s1039" style="position:absolute;flip:y;visibility:visible;mso-wrap-style:square" from="107950,222250" to="171450,22225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" strokecolor="#8299be" strokeweight="1pt">
                    <v:stroke joinstyle="miter"/>
                  </v:line>
                </v:group>
                <w10:wrap type="square" anchorx="margin"/>
              </v:group>
            </w:pict>
          </mc:Fallback>
        </mc:AlternateContent>
      </w:r>
      <w:r w:rsidR="00BB1648" w:rsidRPr="00C43EAA">
        <w:t xml:space="preserve">Capacity, resources (including but not limited to funding), and regulatory structure can affect coordination between the state and local health departments. In general, </w:t>
      </w:r>
      <w:r w:rsidR="00BB1648">
        <w:t>states with decentralized governance systems (i.e., local health departments are primarily led by employees of the local government, rather than the state)</w:t>
      </w:r>
      <w:r w:rsidR="00BB1648" w:rsidRPr="00C43EAA">
        <w:t xml:space="preserve"> reported facing the greatest challenges in coordinating efforts between the state and local health departments. </w:t>
      </w:r>
    </w:p>
    <w:p w:rsidR="00BB1648" w:rsidRPr="00C43EAA" w:rsidRDefault="00BB1648" w:rsidP="003B2EEB">
      <w:pPr>
        <w:spacing w:after="240"/>
      </w:pPr>
      <w:r w:rsidRPr="00C43EAA">
        <w:t>However, given the benefits of partnership between HAI/AR p</w:t>
      </w:r>
      <w:r>
        <w:t>rograms and local public health – including</w:t>
      </w:r>
      <w:r w:rsidRPr="00C43EAA">
        <w:t xml:space="preserve"> pooled expertise, alignment of messaging, increased networks of relationships for purposes </w:t>
      </w:r>
      <w:r>
        <w:t>of</w:t>
      </w:r>
      <w:r w:rsidRPr="00C43EAA">
        <w:t xml:space="preserve"> gaining access to facilities, and efficiencies in resource use </w:t>
      </w:r>
      <w:r>
        <w:t xml:space="preserve">– </w:t>
      </w:r>
      <w:r w:rsidRPr="00C43EAA">
        <w:t xml:space="preserve">coordination of goals, activities, and deliverables should be pursued whenever possible. </w:t>
      </w:r>
    </w:p>
    <w:p w:rsidR="00BB1648" w:rsidRPr="00187086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  <w:rPr>
          <w:color w:val="006794"/>
        </w:rPr>
      </w:pPr>
      <w:r>
        <w:rPr>
          <w:b/>
        </w:rPr>
        <w:t xml:space="preserve">Invite local public health to join assessment visits. </w:t>
      </w:r>
      <w:r>
        <w:t xml:space="preserve">Local health department staff are more likely to have had regular communication with facilities and providers, and can facilitate access for assessment purposes.  </w:t>
      </w:r>
    </w:p>
    <w:p w:rsidR="00BB1648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</w:pPr>
      <w:r>
        <w:rPr>
          <w:b/>
        </w:rPr>
        <w:t>Engage local pub</w:t>
      </w:r>
      <w:r w:rsidRPr="00A40318">
        <w:rPr>
          <w:b/>
        </w:rPr>
        <w:t xml:space="preserve">lic health </w:t>
      </w:r>
      <w:r>
        <w:rPr>
          <w:b/>
        </w:rPr>
        <w:t>for follow-up activities</w:t>
      </w:r>
      <w:r>
        <w:t xml:space="preserve"> (e.g., providing trainings for facilities) after assessment visits.</w:t>
      </w:r>
      <w:r w:rsidRPr="00A40318">
        <w:rPr>
          <w:rFonts w:ascii="Gotham-Book" w:hAnsi="Gotham-Book" w:cs="Gotham-Book"/>
          <w:noProof/>
          <w:color w:val="414142"/>
          <w:sz w:val="21"/>
          <w:szCs w:val="21"/>
        </w:rPr>
        <w:t xml:space="preserve"> </w:t>
      </w:r>
    </w:p>
    <w:p w:rsidR="00BB1648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</w:pPr>
      <w:r>
        <w:t xml:space="preserve">State health departments already coordinating with their local public health partners can </w:t>
      </w:r>
      <w:r w:rsidRPr="00A40318">
        <w:rPr>
          <w:b/>
        </w:rPr>
        <w:t>invite them to participate in regular HAI/AR program meetings</w:t>
      </w:r>
      <w:r>
        <w:t xml:space="preserve"> and/or join the </w:t>
      </w:r>
      <w:r w:rsidRPr="00A40318">
        <w:rPr>
          <w:b/>
        </w:rPr>
        <w:t>HAI Advisory Committee</w:t>
      </w:r>
      <w:r>
        <w:t>.</w:t>
      </w:r>
    </w:p>
    <w:p w:rsidR="00BB1648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</w:pPr>
      <w:r w:rsidRPr="00A40318">
        <w:rPr>
          <w:b/>
        </w:rPr>
        <w:t>Understand local health department priorities</w:t>
      </w:r>
      <w:r>
        <w:t xml:space="preserve"> and opportunities to build local capacity (e.g., National Association of County and City Health Officials [NACCHO] demonstration projects) to ensure alignment.</w:t>
      </w:r>
    </w:p>
    <w:p w:rsidR="00BB1648" w:rsidRPr="00C43EAA" w:rsidRDefault="00BB1648" w:rsidP="003B2EEB">
      <w:pPr>
        <w:pStyle w:val="ListParagraph"/>
        <w:numPr>
          <w:ilvl w:val="0"/>
          <w:numId w:val="2"/>
        </w:numPr>
        <w:spacing w:after="240"/>
        <w:contextualSpacing w:val="0"/>
      </w:pPr>
      <w:r>
        <w:t xml:space="preserve">As with other partners, </w:t>
      </w:r>
      <w:r w:rsidRPr="00A40318">
        <w:rPr>
          <w:b/>
        </w:rPr>
        <w:t>present a united front</w:t>
      </w:r>
      <w:r>
        <w:t xml:space="preserve"> and ensure consistent messaging across all levels.</w:t>
      </w:r>
    </w:p>
    <w:p w:rsidR="00FC70C6" w:rsidRDefault="00FC70C6"/>
    <w:p w:rsidR="006D0EE7" w:rsidRDefault="006D0EE7"/>
    <w:p w:rsidR="006D0EE7" w:rsidRDefault="006D0EE7"/>
    <w:p w:rsidR="006D0EE7" w:rsidRDefault="006D0EE7"/>
    <w:p w:rsidR="006D0EE7" w:rsidRDefault="006D0EE7"/>
    <w:p w:rsidR="006D0EE7" w:rsidRDefault="006D0EE7"/>
    <w:p w:rsidR="006D0EE7" w:rsidRDefault="006D0EE7"/>
    <w:p w:rsidR="006D0EE7" w:rsidRDefault="006D0EE7">
      <w:pPr>
        <w:pBdr>
          <w:bottom w:val="single" w:sz="6" w:space="1" w:color="auto"/>
        </w:pBdr>
      </w:pPr>
    </w:p>
    <w:p w:rsidR="006D0EE7" w:rsidRDefault="006D0EE7">
      <w:pPr>
        <w:pBdr>
          <w:bottom w:val="single" w:sz="6" w:space="1" w:color="auto"/>
        </w:pBdr>
      </w:pPr>
    </w:p>
    <w:p w:rsidR="006D0EE7" w:rsidRPr="006D0EE7" w:rsidRDefault="006D0EE7" w:rsidP="006D0EE7">
      <w:pPr>
        <w:jc w:val="right"/>
        <w:rPr>
          <w:b/>
          <w:bCs/>
          <w:sz w:val="18"/>
          <w:szCs w:val="18"/>
        </w:rPr>
      </w:pPr>
      <w:r w:rsidRPr="006D0EE7">
        <w:rPr>
          <w:b/>
          <w:bCs/>
          <w:sz w:val="18"/>
          <w:szCs w:val="18"/>
        </w:rPr>
        <w:t>Centers for Disease Control and Prevention (CDC), Division of Healthcare Quality Promotion (DHQP)</w:t>
      </w:r>
    </w:p>
    <w:p w:rsidR="006D0EE7" w:rsidRPr="006D0EE7" w:rsidRDefault="006D0EE7" w:rsidP="006D0EE7">
      <w:pPr>
        <w:jc w:val="right"/>
        <w:rPr>
          <w:b/>
          <w:bCs/>
          <w:sz w:val="18"/>
          <w:szCs w:val="18"/>
        </w:rPr>
      </w:pPr>
      <w:r w:rsidRPr="006D0EE7">
        <w:rPr>
          <w:b/>
          <w:bCs/>
          <w:sz w:val="18"/>
          <w:szCs w:val="18"/>
        </w:rPr>
        <w:t>Healthcare-associated Infection and Antimicrobial Resistance Workshop: Contain, Control, and Prevent</w:t>
      </w:r>
    </w:p>
    <w:p w:rsidR="006D0EE7" w:rsidRDefault="006D0EE7" w:rsidP="006D0EE7">
      <w:pPr>
        <w:jc w:val="right"/>
      </w:pPr>
      <w:r w:rsidRPr="006D0EE7">
        <w:rPr>
          <w:b/>
          <w:sz w:val="18"/>
          <w:szCs w:val="18"/>
        </w:rPr>
        <w:t>Sunday, June 10</w:t>
      </w:r>
      <w:r w:rsidR="003B2EEB" w:rsidRPr="003B2EEB">
        <w:rPr>
          <w:b/>
          <w:sz w:val="18"/>
          <w:szCs w:val="18"/>
        </w:rPr>
        <w:t>, 2018</w:t>
      </w:r>
    </w:p>
    <w:sectPr w:rsidR="006D0EE7" w:rsidSect="0082494D">
      <w:headerReference w:type="default" r:id="rId8"/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2A1D" w:rsidRDefault="004E2A1D" w:rsidP="00E45DAF">
      <w:pPr>
        <w:spacing w:after="0" w:line="240" w:lineRule="auto"/>
      </w:pPr>
      <w:r>
        <w:separator/>
      </w:r>
    </w:p>
  </w:endnote>
  <w:endnote w:type="continuationSeparator" w:id="0">
    <w:p w:rsidR="004E2A1D" w:rsidRDefault="004E2A1D" w:rsidP="00E45DA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otham-Book"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2A1D" w:rsidRDefault="004E2A1D" w:rsidP="00E45DAF">
      <w:pPr>
        <w:spacing w:after="0" w:line="240" w:lineRule="auto"/>
      </w:pPr>
      <w:r>
        <w:separator/>
      </w:r>
    </w:p>
  </w:footnote>
  <w:footnote w:type="continuationSeparator" w:id="0">
    <w:p w:rsidR="004E2A1D" w:rsidRDefault="004E2A1D" w:rsidP="00E45DA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45DAF" w:rsidRDefault="00E45DAF">
    <w:pPr>
      <w:pStyle w:val="Header"/>
    </w:pPr>
    <w:r>
      <w:rPr>
        <w:noProof/>
      </w:rPr>
      <w:drawing>
        <wp:anchor distT="0" distB="0" distL="114300" distR="114300" simplePos="0" relativeHeight="251659264" behindDoc="1" locked="0" layoutInCell="1" allowOverlap="1" wp14:anchorId="46F4BA88" wp14:editId="35A4C946">
          <wp:simplePos x="0" y="0"/>
          <wp:positionH relativeFrom="margin">
            <wp:align>right</wp:align>
          </wp:positionH>
          <wp:positionV relativeFrom="paragraph">
            <wp:posOffset>-266700</wp:posOffset>
          </wp:positionV>
          <wp:extent cx="995045" cy="709295"/>
          <wp:effectExtent l="0" t="0" r="0" b="0"/>
          <wp:wrapTight wrapText="bothSides">
            <wp:wrapPolygon edited="0">
              <wp:start x="0" y="0"/>
              <wp:lineTo x="0" y="20885"/>
              <wp:lineTo x="21090" y="20885"/>
              <wp:lineTo x="21090" y="0"/>
              <wp:lineTo x="0" y="0"/>
            </wp:wrapPolygon>
          </wp:wrapTight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cdc-logo-225E05DE27-seeklogo.com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995045" cy="7092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83D468F"/>
    <w:multiLevelType w:val="hybridMultilevel"/>
    <w:tmpl w:val="8826AD4E"/>
    <w:lvl w:ilvl="0" w:tplc="1422A088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b/>
        <w:color w:val="63A999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6A1F7102"/>
    <w:multiLevelType w:val="hybridMultilevel"/>
    <w:tmpl w:val="42423F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B2E1CD8"/>
    <w:multiLevelType w:val="hybridMultilevel"/>
    <w:tmpl w:val="909664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1648"/>
    <w:rsid w:val="00363E56"/>
    <w:rsid w:val="003B2EEB"/>
    <w:rsid w:val="004E2A1D"/>
    <w:rsid w:val="004F0DD8"/>
    <w:rsid w:val="006A4A62"/>
    <w:rsid w:val="006D0EE7"/>
    <w:rsid w:val="00772831"/>
    <w:rsid w:val="0082494D"/>
    <w:rsid w:val="00A95BE2"/>
    <w:rsid w:val="00BA6A32"/>
    <w:rsid w:val="00BB1648"/>
    <w:rsid w:val="00D26908"/>
    <w:rsid w:val="00D53329"/>
    <w:rsid w:val="00E45DAF"/>
    <w:rsid w:val="00FC70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  <w15:chartTrackingRefBased/>
  <w15:docId w15:val="{B8A8641A-0552-465D-BE20-8942AC96A5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B164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uiPriority w:val="1"/>
    <w:qFormat/>
    <w:rsid w:val="00BB1648"/>
    <w:pPr>
      <w:spacing w:after="0" w:line="240" w:lineRule="auto"/>
    </w:pPr>
  </w:style>
  <w:style w:type="paragraph" w:styleId="ListParagraph">
    <w:name w:val="List Paragraph"/>
    <w:basedOn w:val="Normal"/>
    <w:uiPriority w:val="34"/>
    <w:qFormat/>
    <w:rsid w:val="00BB1648"/>
    <w:pPr>
      <w:ind w:left="720"/>
      <w:contextualSpacing/>
    </w:pPr>
  </w:style>
  <w:style w:type="character" w:customStyle="1" w:styleId="NoSpacingChar">
    <w:name w:val="No Spacing Char"/>
    <w:basedOn w:val="DefaultParagraphFont"/>
    <w:link w:val="NoSpacing"/>
    <w:uiPriority w:val="1"/>
    <w:rsid w:val="00BB1648"/>
  </w:style>
  <w:style w:type="paragraph" w:styleId="Header">
    <w:name w:val="header"/>
    <w:basedOn w:val="Normal"/>
    <w:link w:val="HeaderChar"/>
    <w:uiPriority w:val="99"/>
    <w:unhideWhenUsed/>
    <w:rsid w:val="00E45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45DAF"/>
  </w:style>
  <w:style w:type="paragraph" w:styleId="Footer">
    <w:name w:val="footer"/>
    <w:basedOn w:val="Normal"/>
    <w:link w:val="FooterChar"/>
    <w:uiPriority w:val="99"/>
    <w:unhideWhenUsed/>
    <w:rsid w:val="00E45DA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45DA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75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80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504</Words>
  <Characters>2879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Centers for Disease Control and Prevention</Company>
  <LinksUpToDate>false</LinksUpToDate>
  <CharactersWithSpaces>3377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Perz, Joseph (CDC/OID/NCEZID)</dc:creator>
  <cp:keywords/>
  <dc:description/>
  <cp:lastModifiedBy>Crist, Matthew (CDC/OID/NCEZID)</cp:lastModifiedBy>
  <cp:revision>1</cp:revision>
  <dcterms:created xsi:type="dcterms:W3CDTF">2018-06-07T20:17:00Z</dcterms:created>
  <dcterms:modified xsi:type="dcterms:W3CDTF">2018-06-26T19:10:00Z</dcterms:modified>
</cp:coreProperties>
</file>